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b w:val="1"/>
          <w:i w:val="1"/>
          <w:color w:val="1155cc"/>
          <w:sz w:val="78"/>
          <w:szCs w:val="78"/>
          <w:u w:val="single"/>
        </w:rPr>
      </w:pPr>
      <w:bookmarkStart w:colFirst="0" w:colLast="0" w:name="_n16dcmwegh8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55cc"/>
          <w:sz w:val="78"/>
          <w:szCs w:val="78"/>
          <w:u w:val="single"/>
          <w:rtl w:val="0"/>
        </w:rPr>
        <w:t xml:space="preserve">12 Effective Teaching Strategies for Elementary Education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1. Cooperative Learning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2. Behavior Management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3. Student-Led Teaching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4. Teacher as a Model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5. Hybrid Learning Techniques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6. Formative Assessment Process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7. Gamification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8. Visualization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9. Summative Assessment Method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10. Differentiation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11. Experiential Learning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cc0000"/>
          <w:sz w:val="48"/>
          <w:szCs w:val="48"/>
          <w:u w:val="single"/>
          <w:rtl w:val="0"/>
        </w:rPr>
        <w:t xml:space="preserve">12. Feedback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